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84"/>
        <w:gridCol w:w="7660"/>
      </w:tblGrid>
      <w:tr w:rsidR="00443609" w:rsidRPr="003E3C8A" w14:paraId="5F9EAAC9" w14:textId="77777777" w:rsidTr="00264C1C">
        <w:trPr>
          <w:trHeight w:val="1266"/>
        </w:trPr>
        <w:tc>
          <w:tcPr>
            <w:tcW w:w="901" w:type="pct"/>
            <w:shd w:val="clear" w:color="auto" w:fill="F2F2F2" w:themeFill="background1" w:themeFillShade="F2"/>
            <w:vAlign w:val="center"/>
          </w:tcPr>
          <w:p w14:paraId="2BD6900B" w14:textId="719AAE43" w:rsidR="00443609" w:rsidRPr="003E3C8A" w:rsidRDefault="00443609" w:rsidP="003E3C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bCs/>
                <w:sz w:val="22"/>
                <w:szCs w:val="22"/>
              </w:rPr>
              <w:t xml:space="preserve">№ </w:t>
            </w:r>
            <w:r w:rsidR="003E3C8A" w:rsidRPr="003E3C8A">
              <w:rPr>
                <w:rFonts w:ascii="Arial Narrow" w:hAnsi="Arial Narrow"/>
                <w:b/>
                <w:bCs/>
                <w:sz w:val="22"/>
                <w:szCs w:val="22"/>
              </w:rPr>
              <w:t>02</w:t>
            </w:r>
            <w:r w:rsidR="00DE3436" w:rsidRPr="003E3C8A">
              <w:rPr>
                <w:rFonts w:ascii="Arial Narrow" w:hAnsi="Arial Narrow"/>
                <w:b/>
                <w:bCs/>
                <w:sz w:val="22"/>
                <w:szCs w:val="22"/>
              </w:rPr>
              <w:t>/</w:t>
            </w:r>
            <w:r w:rsidR="00B12557" w:rsidRPr="003E3C8A">
              <w:rPr>
                <w:rFonts w:ascii="Arial Narrow" w:hAnsi="Arial Narrow"/>
                <w:b/>
                <w:bCs/>
                <w:sz w:val="22"/>
                <w:szCs w:val="22"/>
              </w:rPr>
              <w:t>2022</w:t>
            </w:r>
          </w:p>
        </w:tc>
        <w:tc>
          <w:tcPr>
            <w:tcW w:w="4099" w:type="pct"/>
            <w:shd w:val="clear" w:color="auto" w:fill="F2F2F2" w:themeFill="background1" w:themeFillShade="F2"/>
            <w:vAlign w:val="center"/>
          </w:tcPr>
          <w:p w14:paraId="14EAF7E2" w14:textId="77777777" w:rsidR="00116463" w:rsidRDefault="00116463" w:rsidP="003E3C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116463">
              <w:rPr>
                <w:rFonts w:ascii="Arial Narrow" w:hAnsi="Arial Narrow"/>
                <w:b/>
                <w:bCs/>
                <w:sz w:val="22"/>
                <w:szCs w:val="22"/>
              </w:rPr>
              <w:t>ОТЧЕТ ОБ ИТОГАХ ГОЛОСОВАНИЯ НА ОБЩЕМ СОБРАНИИ АКЦИОНЕРОВ</w:t>
            </w:r>
          </w:p>
          <w:p w14:paraId="595CFE8F" w14:textId="7F26F752" w:rsidR="004E458C" w:rsidRPr="003E3C8A" w:rsidRDefault="00D83691" w:rsidP="003E3C8A">
            <w:pPr>
              <w:jc w:val="center"/>
              <w:rPr>
                <w:rFonts w:ascii="Arial Narrow" w:hAnsi="Arial Narrow"/>
                <w:b/>
                <w:bCs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bCs/>
                <w:sz w:val="22"/>
                <w:szCs w:val="22"/>
                <w:lang w:eastAsia="ru-RU"/>
              </w:rPr>
              <w:t xml:space="preserve">АКЦИОНЕРНОГО ОБЩЕСТВА </w:t>
            </w:r>
            <w:r w:rsidRPr="003E3C8A">
              <w:rPr>
                <w:rFonts w:ascii="Arial Narrow" w:eastAsia="Times New Roman" w:hAnsi="Arial Narrow"/>
                <w:b/>
                <w:bCs/>
                <w:kern w:val="0"/>
                <w:sz w:val="22"/>
                <w:szCs w:val="22"/>
                <w:lang w:eastAsia="ru-RU"/>
              </w:rPr>
              <w:t>«КУБАНСКАЯ СТЕПЬ»</w:t>
            </w:r>
          </w:p>
        </w:tc>
      </w:tr>
      <w:tr w:rsidR="00B50A43" w:rsidRPr="003E3C8A" w14:paraId="13B77175" w14:textId="77777777" w:rsidTr="008535CA">
        <w:tc>
          <w:tcPr>
            <w:tcW w:w="5000" w:type="pct"/>
            <w:gridSpan w:val="2"/>
            <w:shd w:val="clear" w:color="auto" w:fill="auto"/>
          </w:tcPr>
          <w:p w14:paraId="62E0869D" w14:textId="77777777" w:rsidR="00B50A43" w:rsidRPr="003E3C8A" w:rsidRDefault="00B50A43" w:rsidP="003E3C8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</w:p>
          <w:p w14:paraId="5FA9A76C" w14:textId="77777777" w:rsidR="00D83691" w:rsidRPr="003E3C8A" w:rsidRDefault="00D83691" w:rsidP="003E3C8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/>
                <w:kern w:val="0"/>
                <w:sz w:val="22"/>
                <w:szCs w:val="22"/>
              </w:rPr>
              <w:t>Полное фирменное наименование: Акционерное общество «Кубанская степь»</w:t>
            </w:r>
          </w:p>
          <w:p w14:paraId="0A88BDF8" w14:textId="77777777" w:rsidR="00D83691" w:rsidRPr="003E3C8A" w:rsidRDefault="00D83691" w:rsidP="003E3C8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/>
                <w:kern w:val="0"/>
                <w:sz w:val="22"/>
                <w:szCs w:val="22"/>
              </w:rPr>
              <w:t>Сокращенное наименование: АО «Кубанская степь»</w:t>
            </w:r>
          </w:p>
          <w:p w14:paraId="3AEC7D81" w14:textId="07CE58DC" w:rsidR="00D83691" w:rsidRPr="003E3C8A" w:rsidRDefault="00D83691" w:rsidP="003E3C8A">
            <w:pPr>
              <w:widowControl/>
              <w:suppressAutoHyphens w:val="0"/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/>
                <w:kern w:val="0"/>
                <w:sz w:val="22"/>
                <w:szCs w:val="22"/>
              </w:rPr>
              <w:t>ОГРН: 1022303979070, ИНН: 2334005509</w:t>
            </w:r>
          </w:p>
          <w:p w14:paraId="7AEA57FB" w14:textId="5A89F2BC" w:rsidR="00B50A43" w:rsidRPr="003E3C8A" w:rsidRDefault="00D83691" w:rsidP="003E3C8A">
            <w:pPr>
              <w:jc w:val="both"/>
              <w:rPr>
                <w:rFonts w:ascii="Arial Narrow" w:eastAsia="Calibri" w:hAnsi="Arial Narrow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/>
                <w:kern w:val="0"/>
                <w:sz w:val="22"/>
                <w:szCs w:val="22"/>
              </w:rPr>
              <w:t>Адрес места нахождения: 353714, край Краснодарский, район Каневской, поселок Кубанская степь, улица Набережная, 39</w:t>
            </w:r>
          </w:p>
          <w:p w14:paraId="561C3E85" w14:textId="6A80C88D" w:rsidR="003E3C8A" w:rsidRPr="003E3C8A" w:rsidRDefault="003E3C8A" w:rsidP="003E3C8A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</w:p>
          <w:p w14:paraId="149749AA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Вид общего собрания: внеочередное.</w:t>
            </w:r>
          </w:p>
          <w:p w14:paraId="0AF1ADF7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Форма проведения общего собрания: заочное голосование.</w:t>
            </w:r>
          </w:p>
          <w:p w14:paraId="74ABA0D6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определения лиц, имевших право на участие в общем собрании акционеров Общества: 26.06.2022</w:t>
            </w:r>
          </w:p>
          <w:p w14:paraId="77463636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Дата проведения общего собрания: 20.08.2022</w:t>
            </w:r>
          </w:p>
          <w:p w14:paraId="5B9ABB37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5A0D01B9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Сведения о регистраторе, выполнявшем функции счетной комиссии:</w:t>
            </w:r>
          </w:p>
          <w:p w14:paraId="400800C1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Полное фирменное наименование: Акционерное общество «Реестр».</w:t>
            </w:r>
          </w:p>
          <w:p w14:paraId="0E11D132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Место нахождения: Российская Федерация, г. Москва.</w:t>
            </w:r>
          </w:p>
          <w:p w14:paraId="5C931FEA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Адрес регистратора: 129090, Москва, Б. Балканский пер., д. 20, стр. 1.</w:t>
            </w:r>
          </w:p>
          <w:p w14:paraId="133C290E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Лицо, уполномоченное АО «Реестр»: Ярикова Татьяна Игоревна</w:t>
            </w:r>
          </w:p>
          <w:p w14:paraId="05FFB7C9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3E3A4840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Председатель общего собрания акционеров: Недужко Андрей Михайлович</w:t>
            </w:r>
          </w:p>
          <w:p w14:paraId="5CF29BDC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3E3C8A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Секретарь общего собрания акционеров: Ахиджанов Артур Эдуардович</w:t>
            </w:r>
          </w:p>
          <w:p w14:paraId="6252343E" w14:textId="77777777" w:rsidR="003E3C8A" w:rsidRPr="003E3C8A" w:rsidRDefault="003E3C8A" w:rsidP="003E3C8A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</w:p>
          <w:p w14:paraId="674D637F" w14:textId="77777777" w:rsidR="00116463" w:rsidRPr="00CC7544" w:rsidRDefault="00116463" w:rsidP="00116463">
            <w:pPr>
              <w:widowControl/>
              <w:suppressAutoHyphens w:val="0"/>
              <w:jc w:val="both"/>
              <w:rPr>
                <w:rFonts w:ascii="Arial Narrow" w:eastAsia="Calibri" w:hAnsi="Arial Narrow" w:cs="Arial"/>
                <w:kern w:val="0"/>
                <w:sz w:val="22"/>
                <w:szCs w:val="22"/>
              </w:rPr>
            </w:pP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Дата составления </w:t>
            </w:r>
            <w:r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>отчета об итогах голосования на общем собрании</w:t>
            </w:r>
            <w:r w:rsidRPr="00CC7544">
              <w:rPr>
                <w:rFonts w:ascii="Arial Narrow" w:eastAsia="Calibri" w:hAnsi="Arial Narrow" w:cs="Arial"/>
                <w:kern w:val="0"/>
                <w:sz w:val="22"/>
                <w:szCs w:val="22"/>
              </w:rPr>
              <w:t xml:space="preserve"> акционеров: 23.08.2022</w:t>
            </w:r>
          </w:p>
          <w:p w14:paraId="692035A9" w14:textId="66E77604" w:rsidR="00B50A43" w:rsidRPr="003E3C8A" w:rsidRDefault="00B50A43" w:rsidP="003E3C8A">
            <w:pPr>
              <w:jc w:val="both"/>
              <w:rPr>
                <w:rFonts w:ascii="Arial Narrow" w:hAnsi="Arial Narrow"/>
                <w:bCs/>
                <w:kern w:val="2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A4F33" w:rsidRPr="003E3C8A" w14:paraId="4DAADA10" w14:textId="77777777" w:rsidTr="008535CA">
        <w:tc>
          <w:tcPr>
            <w:tcW w:w="5000" w:type="pct"/>
            <w:gridSpan w:val="2"/>
            <w:shd w:val="clear" w:color="auto" w:fill="auto"/>
          </w:tcPr>
          <w:p w14:paraId="4EADFAE1" w14:textId="72BAE2DB" w:rsidR="00B12557" w:rsidRPr="003E3C8A" w:rsidRDefault="003A4F33" w:rsidP="002F7E42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>Повестка дня собрания:</w:t>
            </w:r>
          </w:p>
          <w:p w14:paraId="4344D247" w14:textId="77777777" w:rsidR="003E3C8A" w:rsidRPr="003E3C8A" w:rsidRDefault="003E3C8A" w:rsidP="002F7E42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3C8A">
              <w:rPr>
                <w:rFonts w:ascii="Arial Narrow" w:hAnsi="Arial Narrow"/>
                <w:sz w:val="22"/>
                <w:szCs w:val="22"/>
              </w:rPr>
              <w:t>О прекращении полномочий управляющей организации.</w:t>
            </w:r>
          </w:p>
          <w:p w14:paraId="0601C62B" w14:textId="77777777" w:rsidR="003E3C8A" w:rsidRPr="003E3C8A" w:rsidRDefault="003E3C8A" w:rsidP="002F7E42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3C8A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023U7P001 от «21» мая 2019 года, заключаемое с АО «АЛЬФА-БАНК»).</w:t>
            </w:r>
          </w:p>
          <w:p w14:paraId="55A06996" w14:textId="77777777" w:rsidR="003E3C8A" w:rsidRPr="003E3C8A" w:rsidRDefault="003E3C8A" w:rsidP="002F7E42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3C8A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02O66P009 от «03» июля 2020 года, заключаемое с АО «АЛЬФА-БАНК»).</w:t>
            </w:r>
          </w:p>
          <w:p w14:paraId="2BEA116A" w14:textId="1B56379E" w:rsidR="00B12557" w:rsidRPr="003E3C8A" w:rsidRDefault="003E3C8A" w:rsidP="002F7E42">
            <w:pPr>
              <w:pStyle w:val="ab"/>
              <w:numPr>
                <w:ilvl w:val="0"/>
                <w:numId w:val="45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  <w:r w:rsidRPr="003E3C8A">
              <w:rPr>
                <w:rFonts w:ascii="Arial Narrow" w:hAnsi="Arial Narrow"/>
                <w:sz w:val="22"/>
                <w:szCs w:val="22"/>
              </w:rPr>
              <w:t>О согласии на совершение крупной сделки (Дополнительное соглашение к Договору поручительства № 03OE2P007 от «24» мая 2021 года, заключаемое с АО «АЛЬФА-БАНК»).</w:t>
            </w:r>
          </w:p>
        </w:tc>
      </w:tr>
    </w:tbl>
    <w:p w14:paraId="2F86A5C1" w14:textId="0B87A6D2" w:rsidR="003904CB" w:rsidRPr="003E3C8A" w:rsidRDefault="003904CB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2BFDE52F" w14:textId="77777777" w:rsidR="00B12557" w:rsidRPr="003E3C8A" w:rsidRDefault="00B12557" w:rsidP="003E3C8A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</w:p>
    <w:p w14:paraId="1437366F" w14:textId="0071E229" w:rsidR="00B12557" w:rsidRPr="003E3C8A" w:rsidRDefault="00B12557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№1:</w:t>
      </w:r>
    </w:p>
    <w:p w14:paraId="252FE9E9" w14:textId="0F6A73D3" w:rsidR="00B12557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  <w:t>О прекращении полномочий управляющей организации.</w:t>
      </w:r>
    </w:p>
    <w:p w14:paraId="01EA201A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</w:p>
    <w:p w14:paraId="76BFDD9C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39A5AFDF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 xml:space="preserve">1.1. </w:t>
      </w: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Прекратить полномочия управляющей организации Общества (АО Агрохолдинг «СТЕПЬ», ИНН 7708813052, ОГРН 1147746518017).</w:t>
      </w:r>
    </w:p>
    <w:p w14:paraId="2458BDC7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197CBC5F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7544DF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CE0071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773A56FC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1535922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8F584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1DD4D4B5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427EE6C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AF255DD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08F0D9EE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1AE53F74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67BFFD43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75DDF341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B63CF0D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F0B0C2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3E3C8A" w:rsidRPr="003E3C8A" w14:paraId="28B2192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ECA0291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6D15B8E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5B9EE6AB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37A9F7D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lastRenderedPageBreak/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245677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6AFDE2ED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A040EED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BD8E04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28F79622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3D476FE4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89C59FD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213528C9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  <w:t xml:space="preserve">1.1. </w:t>
      </w: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>Прекратить полномочия управляющей организации Общества (АО Агрохолдинг «СТЕПЬ», ИНН 7708813052, ОГРН 1147746518017).</w:t>
      </w:r>
    </w:p>
    <w:p w14:paraId="2B79339A" w14:textId="3BFDACDD" w:rsid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</w:p>
    <w:p w14:paraId="0DDD7254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Cs/>
          <w:color w:val="080808"/>
          <w:kern w:val="0"/>
          <w:sz w:val="22"/>
          <w:szCs w:val="22"/>
          <w:lang w:val="x-none" w:eastAsia="ru-RU"/>
        </w:rPr>
      </w:pPr>
    </w:p>
    <w:p w14:paraId="3506C1BE" w14:textId="54A673B5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№2:</w:t>
      </w:r>
    </w:p>
    <w:p w14:paraId="5583D2F4" w14:textId="699617B7" w:rsidR="00B12557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sz w:val="22"/>
          <w:szCs w:val="22"/>
        </w:rPr>
      </w:pPr>
      <w:r w:rsidRPr="003E3C8A">
        <w:rPr>
          <w:rFonts w:ascii="Arial Narrow" w:hAnsi="Arial Narrow"/>
          <w:sz w:val="22"/>
          <w:szCs w:val="22"/>
        </w:rPr>
        <w:t>О согласии на совершение крупной сделки (Дополнительное соглашение к Договору поручительства № 023U7P001 от «21» мая 2019 года, заключаемое с АО «АЛЬФА-БАНК»).</w:t>
      </w:r>
    </w:p>
    <w:p w14:paraId="3E18B39A" w14:textId="77777777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sz w:val="22"/>
          <w:szCs w:val="22"/>
        </w:rPr>
      </w:pPr>
    </w:p>
    <w:p w14:paraId="5965F563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3783BD2B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2.1.Дать согласие на совершение следующей крупной сделки:</w:t>
      </w:r>
    </w:p>
    <w:p w14:paraId="53FCEB2B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023U7P001 от «21» мая 2019 года, заключаемое между АО «Кубанская степь» («Поручитель») и АО «АЛЬФА-БАНК» («Кредитор») в обеспечение обязательств АО «Агрохлебопродукт» («Должник») по Кредитному соглашению № 023U7L об открытии невозобновляемой кредитной линии в российских рублях от «21» мая 2019 г., согласно которому:</w:t>
      </w:r>
    </w:p>
    <w:p w14:paraId="28D6B494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023U7L об открытии невозобновляемой кредитной линии в российских рублях от «21» мая 2019 г. (далее – «Соглашение»):</w:t>
      </w:r>
    </w:p>
    <w:p w14:paraId="4FDA5114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056558C4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1C0B0B48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ab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6EBC85D8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286DA394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167B49E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88E2B3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2341FE6F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9213C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ECC4AC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048EB512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CABD38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DC9DF77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71C52909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33C432A2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8D74E24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28556263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D740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8B8E5D1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3E3C8A" w:rsidRPr="003E3C8A" w14:paraId="6D38AAA2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EAC332C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41C90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687662B6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F6FF64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B06097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2D806A8E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B5C2A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F92EAC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32849CFB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4872965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704BC3DB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25A5A34B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2.1.Дать согласие на совершение следующей крупной сделки:</w:t>
      </w:r>
    </w:p>
    <w:p w14:paraId="5E763C1A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023U7P001 от «21» мая 2019 года, заключаемое между АО «Кубанская степь» («Поручитель») и АО «АЛЬФА-БАНК» («Кредитор») в обеспечение обязательств АО «Агрохлебопродукт» («Должник») по Кредитному соглашению № 023U7L об открытии невозобновляемой кредитной линии в российских рублях от «21» мая 2019 г., согласно которому:</w:t>
      </w:r>
    </w:p>
    <w:p w14:paraId="78EC92B3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023U7L об открытии невозобновляемой кредитной линии в российских рублях от «21» мая 2019 г. (далее – «Соглашение»):</w:t>
      </w:r>
    </w:p>
    <w:p w14:paraId="26C4D464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6814C170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7639F293" w14:textId="24B66CA0" w:rsidR="003E3C8A" w:rsidRPr="003E3C8A" w:rsidRDefault="003E3C8A" w:rsidP="003E3C8A">
      <w:pPr>
        <w:tabs>
          <w:tab w:val="left" w:pos="993"/>
        </w:tabs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ab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5189B907" w14:textId="77777777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3630651A" w14:textId="04DC3F60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№3:</w:t>
      </w:r>
    </w:p>
    <w:p w14:paraId="1077F801" w14:textId="0FF1D91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О согласии на совершение крупной сделки (Дополнительное соглашение к Договору поручительства № 02O66P009 от «03» июля 2020 года, заключаемое с АО «АЛЬФА-БАНК»).</w:t>
      </w:r>
    </w:p>
    <w:p w14:paraId="4C220219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</w:p>
    <w:p w14:paraId="2B8C347C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поставленного на голосование:</w:t>
      </w:r>
    </w:p>
    <w:p w14:paraId="3CC644F3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3.1.Дать согласие на совершение следующей крупной сделки:</w:t>
      </w:r>
    </w:p>
    <w:p w14:paraId="1D4FF832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02O66P009 от «03» июля 2020 года, заключаемое между АО «Кубанская степь» («Поручитель») и АО «АЛЬФА-БАНК» («Кредитор») в обеспечение обязательств АО Агрохолдинг «СТЕПЬ» («Должник») по Кредитному соглашению № 02O66L об открытии невозобновляемой кредитной линии в российских рублях от «19» июня 2020 г, согласно которому:</w:t>
      </w:r>
    </w:p>
    <w:p w14:paraId="1FF14871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02O66L об открытии невозобновляемой кредитной линии в российских рублях от «19» июня 2020 г.  (далее – «Соглашение»):</w:t>
      </w:r>
    </w:p>
    <w:p w14:paraId="0674EC53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4E9AD463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24D2C890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4564F3AF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537A0517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CE56354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2076CB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01AB9B02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B2217CE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5F7E226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669AFA08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F664EFB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F0AFF5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6276EF4E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07C7717C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095955FA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28F8787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440693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BD1C6E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3E3C8A" w:rsidRPr="003E3C8A" w14:paraId="4423C342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F31174F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581B7F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3633DBD9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B069903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728E05B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1529D955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85F709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46300FD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01834941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249DFF02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p w14:paraId="5C4CB2A3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56E046D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3.1.Дать согласие на совершение следующей крупной сделки:</w:t>
      </w:r>
    </w:p>
    <w:p w14:paraId="68AC864A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02O66P009 от «03» июля 2020 года, заключаемое между АО «Кубанская степь» («Поручитель») и АО «АЛЬФА-БАНК» («Кредитор») в обеспечение обязательств АО Агрохолдинг «СТЕПЬ» («Должник») по Кредитному соглашению № 02O66L об открытии невозобновляемой кредитной линии в российских рублях от «19» июня 2020 г, согласно которому:</w:t>
      </w:r>
    </w:p>
    <w:p w14:paraId="3DA8A3AB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02O66L об открытии невозобновляемой кредитной линии в российских рублях от «19» июня 2020 г.  (далее – «Соглашение»):</w:t>
      </w:r>
    </w:p>
    <w:p w14:paraId="099BA859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33960DEA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78E526FF" w14:textId="6275439C" w:rsidR="00B12557" w:rsidRPr="003E3C8A" w:rsidRDefault="003E3C8A" w:rsidP="003E3C8A">
      <w:pPr>
        <w:tabs>
          <w:tab w:val="left" w:pos="993"/>
        </w:tabs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47AFA37E" w14:textId="38200139" w:rsidR="003E3C8A" w:rsidRPr="003E3C8A" w:rsidRDefault="003E3C8A" w:rsidP="003E3C8A">
      <w:pPr>
        <w:tabs>
          <w:tab w:val="left" w:pos="993"/>
        </w:tabs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</w:p>
    <w:p w14:paraId="3EDBC97D" w14:textId="77777777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  <w:lang w:val="x-none"/>
        </w:rPr>
      </w:pPr>
    </w:p>
    <w:p w14:paraId="5F435C14" w14:textId="280A0000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u w:val="single"/>
          <w:lang w:val="x-none" w:eastAsia="ru-RU"/>
        </w:rPr>
        <w:t>По вопросу повестки дня №4:</w:t>
      </w:r>
    </w:p>
    <w:p w14:paraId="22AEDA71" w14:textId="3F8F683B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Cs/>
          <w:color w:val="080808"/>
          <w:kern w:val="0"/>
          <w:sz w:val="22"/>
          <w:szCs w:val="22"/>
          <w:lang w:val="x-none" w:eastAsia="ru-RU"/>
        </w:rPr>
        <w:t>О согласии на совершение крупной сделки (Дополнительное соглашение к Договору поручительства № 03OE2P007 от «24» мая 2021 года, заключаемое с АО «АЛЬФА-БАНК»).</w:t>
      </w:r>
    </w:p>
    <w:p w14:paraId="077CF809" w14:textId="60441CE0" w:rsidR="00B12557" w:rsidRPr="003E3C8A" w:rsidRDefault="00B12557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  <w:lang w:val="x-none"/>
        </w:rPr>
      </w:pPr>
    </w:p>
    <w:p w14:paraId="33AA98D4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4.1.Дать согласие на совершение следующей крупной сделки:</w:t>
      </w:r>
    </w:p>
    <w:p w14:paraId="32B5D31C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03OE2P007 от «24» мая 2021 года, заключаемое между АО «Кубанская степь» («Поручитель») и АО «АЛЬФА-БАНК» («Кредитор») в обеспечение обязательств АО Агрохолдинг «СТЕПЬ» («Должник») по Кредитному соглашению № 03OE2L об открытии невозобновляемой кредитной линии в российских рублях от «24» мая 2021 г., согласно которому:</w:t>
      </w:r>
    </w:p>
    <w:p w14:paraId="0470A7B3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03OE2L об открытии невозобновляемой кредитной линии в российских рублях от «24» мая 2021 г.  (далее – «Соглашение»):</w:t>
      </w:r>
    </w:p>
    <w:p w14:paraId="70DE3F4A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192EDBBE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35B0C431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5963602B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41EF790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46D3FB1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включенные в список лиц, имевших право на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313C9E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7CACD3E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B01DBBB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приходившихся на голосующие акции Общества, по данному вопросу повестки дня общего собрания, определенное с учетом положений пункта 4.24 «Положения об общих собраниях акционеров» (утв. Банком России 16.11.2018 N 660-П)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574989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9 037 506</w:t>
            </w:r>
          </w:p>
        </w:tc>
      </w:tr>
      <w:tr w:rsidR="003E3C8A" w:rsidRPr="003E3C8A" w14:paraId="03C549F6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4920AE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которыми обладали лица, принявшие участие в общем собрании, по данному вопросу повестки дня общего собрания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7760B1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</w:t>
            </w:r>
          </w:p>
        </w:tc>
      </w:tr>
    </w:tbl>
    <w:p w14:paraId="42B305CF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Кворум по данному вопросу повестки дня имеется.</w:t>
      </w:r>
    </w:p>
    <w:p w14:paraId="68F2ACD0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  <w:t xml:space="preserve"> </w:t>
      </w:r>
    </w:p>
    <w:p w14:paraId="40DCA6DE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b/>
          <w:bCs/>
          <w:color w:val="080808"/>
          <w:kern w:val="0"/>
          <w:sz w:val="22"/>
          <w:szCs w:val="22"/>
          <w:lang w:val="x-none" w:eastAsia="ru-RU"/>
        </w:rPr>
        <w:t xml:space="preserve">Итоги голосования:  </w:t>
      </w: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0"/>
        <w:gridCol w:w="3660"/>
      </w:tblGrid>
      <w:tr w:rsidR="003E3C8A" w:rsidRPr="003E3C8A" w14:paraId="4C85E012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BFA5D6D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«ЗА»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DF0313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9 009 123 |  100%*</w:t>
            </w:r>
          </w:p>
        </w:tc>
      </w:tr>
      <w:tr w:rsidR="003E3C8A" w:rsidRPr="003E3C8A" w14:paraId="4F1C62A0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F1E93B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«ПРОТИВ»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98D5C57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1F120CBD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F0078FB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отданных за вариант голосования «ВОЗДЕРЖАЛСЯ»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2DFB65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  <w:tr w:rsidR="003E3C8A" w:rsidRPr="003E3C8A" w14:paraId="191D91EC" w14:textId="77777777" w:rsidTr="000A61F5">
        <w:tc>
          <w:tcPr>
            <w:tcW w:w="6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7F673C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ind w:left="140" w:right="140"/>
              <w:jc w:val="both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val="x-none" w:eastAsia="ru-RU"/>
              </w:rPr>
              <w:t>Число голосов, которые не подсчитывались в связи с признанием бюллетеней в части голосования по данному вопросу повестки дня недействительными или по иным основаниям</w:t>
            </w:r>
          </w:p>
        </w:tc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CA82198" w14:textId="77777777" w:rsidR="003E3C8A" w:rsidRPr="003E3C8A" w:rsidRDefault="003E3C8A" w:rsidP="003E3C8A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 Narrow" w:eastAsia="Times New Roman" w:hAnsi="Arial Narrow" w:cs="Times New Roman CYR"/>
                <w:color w:val="080808"/>
                <w:kern w:val="0"/>
                <w:sz w:val="22"/>
                <w:szCs w:val="22"/>
                <w:lang w:eastAsia="ru-RU"/>
              </w:rPr>
            </w:pPr>
            <w:r w:rsidRPr="003E3C8A">
              <w:rPr>
                <w:rFonts w:ascii="Arial Narrow" w:eastAsia="Times New Roman" w:hAnsi="Arial Narrow" w:cs="Times New Roman CYR"/>
                <w:b/>
                <w:bCs/>
                <w:color w:val="080808"/>
                <w:kern w:val="0"/>
                <w:sz w:val="22"/>
                <w:szCs w:val="22"/>
                <w:lang w:val="x-none" w:eastAsia="ru-RU"/>
              </w:rPr>
              <w:t>0</w:t>
            </w:r>
          </w:p>
        </w:tc>
      </w:tr>
    </w:tbl>
    <w:p w14:paraId="1E73CC13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 w:cs="Times New Roman CYR"/>
          <w:color w:val="080808"/>
          <w:kern w:val="0"/>
          <w:sz w:val="22"/>
          <w:szCs w:val="22"/>
          <w:lang w:val="x-none" w:eastAsia="ru-RU"/>
        </w:rPr>
        <w:t xml:space="preserve">       *процент определяется от числа голосов, которыми обладали лица, принявшие участие в общем собрании, по данному вопросу повестки дня, определенное с учетом положений п. 4.24 «Положения об общих собраниях акционеров» (утв. Банком России 16.11.2018 N 660-П).</w:t>
      </w:r>
    </w:p>
    <w:p w14:paraId="5B68B75D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</w:p>
    <w:p w14:paraId="5B4F490B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</w:pPr>
      <w:r w:rsidRPr="003E3C8A">
        <w:rPr>
          <w:rFonts w:ascii="Arial Narrow" w:eastAsia="Times New Roman" w:hAnsi="Arial Narrow" w:cs="Times New Roman CYR"/>
          <w:b/>
          <w:bCs/>
          <w:color w:val="080808"/>
          <w:kern w:val="0"/>
          <w:sz w:val="22"/>
          <w:szCs w:val="22"/>
          <w:lang w:val="x-none" w:eastAsia="ru-RU"/>
        </w:rPr>
        <w:t>Формулировка решения, принятого общим собранием:</w:t>
      </w:r>
    </w:p>
    <w:p w14:paraId="0BB2182C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begin"/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instrText xml:space="preserve"> MERGEFIELD  Decision  \* MERGEFORMAT </w:instrText>
      </w:r>
      <w:r w:rsidRPr="003E3C8A">
        <w:rPr>
          <w:rFonts w:ascii="Arial Narrow" w:eastAsia="Times New Roman" w:hAnsi="Arial Narrow"/>
          <w:kern w:val="0"/>
          <w:sz w:val="22"/>
          <w:szCs w:val="22"/>
          <w:lang w:eastAsia="ru-RU"/>
        </w:rPr>
        <w:fldChar w:fldCharType="separate"/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4.1.Дать согласие на совершение следующей крупной сделки:</w:t>
      </w:r>
    </w:p>
    <w:p w14:paraId="4A55F60C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Дополнительное соглашение к Договору поручительства № 03OE2P007 от «24» мая 2021 года, заключаемое между АО «Кубанская степь» («Поручитель») и АО «АЛЬФА-БАНК» («Кредитор») в обеспечение обязательств АО Агрохолдинг «СТЕПЬ» («Должник») по Кредитному соглашению № 03OE2L об открытии невозобновляемой кредитной линии в российских рублях от «24» мая 2021 г., согласно которому:</w:t>
      </w:r>
    </w:p>
    <w:p w14:paraId="5ECD0EB0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 Кредитором и Должником, указанным в Договоре поручительства, принято решение о внесении указанных ниже изменений и/или дополнений в Кредитное соглашение № 03OE2L об открытии невозобновляемой кредитной линии в российских рублях от «24» мая 2021 г.  (далее – «Соглашение»):</w:t>
      </w:r>
    </w:p>
    <w:p w14:paraId="7BB95817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1.1. Кредитор и Должник пришли к соглашению, что, начиная с «01» апреля 2022 г. за пользование каждым Кредитом (Кредитами), предоставленным(и) в рамках Соглашения, Должник обязуется уплачивать Кредитору проценты по ставке, установленной соответствующим Дополнительным соглашением, но не более 15,75% (Пятнадцать целых 75/100 процента) годовых.</w:t>
      </w:r>
    </w:p>
    <w:p w14:paraId="1075689D" w14:textId="77777777" w:rsidR="003E3C8A" w:rsidRPr="003E3C8A" w:rsidRDefault="003E3C8A" w:rsidP="003E3C8A">
      <w:pPr>
        <w:widowControl/>
        <w:suppressAutoHyphens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1.2. Условия пункта 1.1 настоящего Дополнительного соглашения в соответствии с пунктом 2 статьи 425 ГК РФ применяются к отношениям Кредитора и Должника, возникшим с «01» апреля 2022 г. (включительно).</w:t>
      </w:r>
    </w:p>
    <w:p w14:paraId="033B0510" w14:textId="77777777" w:rsidR="003E3C8A" w:rsidRPr="003E3C8A" w:rsidRDefault="003E3C8A" w:rsidP="003E3C8A">
      <w:pPr>
        <w:widowControl/>
        <w:suppressAutoHyphens w:val="0"/>
        <w:autoSpaceDE w:val="0"/>
        <w:autoSpaceDN w:val="0"/>
        <w:adjustRightInd w:val="0"/>
        <w:jc w:val="both"/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</w:pP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t>2. Поручитель согласен с указанными в пункте 1 выше изменениями и/или дополнениями условий Соглашения.</w:t>
      </w:r>
      <w:r w:rsidRPr="003E3C8A">
        <w:rPr>
          <w:rFonts w:ascii="Arial Narrow" w:eastAsia="Times New Roman" w:hAnsi="Arial Narrow"/>
          <w:noProof/>
          <w:kern w:val="0"/>
          <w:sz w:val="22"/>
          <w:szCs w:val="22"/>
          <w:lang w:eastAsia="ru-RU"/>
        </w:rPr>
        <w:fldChar w:fldCharType="end"/>
      </w:r>
    </w:p>
    <w:p w14:paraId="3014B2A4" w14:textId="7B9E864F" w:rsidR="00B12557" w:rsidRPr="003E3C8A" w:rsidRDefault="00B12557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0B936D9A" w14:textId="31E06BD0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0994CD41" w14:textId="2C92DD0E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430442C5" w14:textId="1890BE16" w:rsid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03D92218" w14:textId="77777777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p w14:paraId="426DD652" w14:textId="77777777" w:rsidR="003E3C8A" w:rsidRPr="003E3C8A" w:rsidRDefault="003E3C8A" w:rsidP="003E3C8A">
      <w:pPr>
        <w:tabs>
          <w:tab w:val="left" w:pos="993"/>
        </w:tabs>
        <w:jc w:val="both"/>
        <w:rPr>
          <w:rFonts w:ascii="Arial Narrow" w:hAnsi="Arial Narrow"/>
          <w:b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907"/>
        <w:gridCol w:w="3447"/>
      </w:tblGrid>
      <w:tr w:rsidR="001073B4" w:rsidRPr="003E3C8A" w14:paraId="08CD298E" w14:textId="77777777" w:rsidTr="00B12557">
        <w:tc>
          <w:tcPr>
            <w:tcW w:w="5907" w:type="dxa"/>
          </w:tcPr>
          <w:p w14:paraId="42FA2F4D" w14:textId="77777777" w:rsidR="001073B4" w:rsidRPr="003E3C8A" w:rsidRDefault="001073B4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 xml:space="preserve">Председатель общего собрания акционеров </w:t>
            </w:r>
          </w:p>
          <w:p w14:paraId="12F569ED" w14:textId="134EFC18" w:rsidR="001073B4" w:rsidRPr="003E3C8A" w:rsidRDefault="001073B4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3E3C8A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83691" w:rsidRPr="003E3C8A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632B1E" w:rsidRPr="003E3C8A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BED717A" w14:textId="77777777" w:rsidR="008511BB" w:rsidRPr="003E3C8A" w:rsidRDefault="008511BB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53173164" w14:textId="77777777" w:rsidR="001073B4" w:rsidRPr="003E3C8A" w:rsidRDefault="001073B4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0F2740FF" w14:textId="392171CA" w:rsidR="00C82591" w:rsidRPr="003E3C8A" w:rsidRDefault="00C82591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3447" w:type="dxa"/>
          </w:tcPr>
          <w:p w14:paraId="6FF52ADC" w14:textId="77777777" w:rsidR="006B4211" w:rsidRPr="003E3C8A" w:rsidRDefault="006B4211" w:rsidP="003E3C8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2B7A2AEA" w14:textId="71AEC408" w:rsidR="001073B4" w:rsidRPr="003E3C8A" w:rsidRDefault="008450BF" w:rsidP="003E3C8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>Недужко А.М</w:t>
            </w:r>
            <w:r w:rsidR="006B4211" w:rsidRPr="003E3C8A">
              <w:rPr>
                <w:rFonts w:ascii="Arial Narrow" w:hAnsi="Arial Narrow"/>
                <w:b/>
                <w:sz w:val="22"/>
                <w:szCs w:val="22"/>
              </w:rPr>
              <w:t>.</w:t>
            </w:r>
          </w:p>
        </w:tc>
      </w:tr>
      <w:tr w:rsidR="001073B4" w:rsidRPr="003E3C8A" w14:paraId="53285604" w14:textId="77777777" w:rsidTr="00B12557">
        <w:tc>
          <w:tcPr>
            <w:tcW w:w="5907" w:type="dxa"/>
          </w:tcPr>
          <w:p w14:paraId="66B64686" w14:textId="77777777" w:rsidR="00B50A43" w:rsidRPr="003E3C8A" w:rsidRDefault="001073B4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 xml:space="preserve">Секретарь общего собрания акционеров </w:t>
            </w:r>
          </w:p>
          <w:p w14:paraId="520678C1" w14:textId="576372D4" w:rsidR="001073B4" w:rsidRPr="003E3C8A" w:rsidRDefault="001073B4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 xml:space="preserve">АО </w:t>
            </w:r>
            <w:r w:rsidR="00632B1E" w:rsidRPr="003E3C8A">
              <w:rPr>
                <w:rFonts w:ascii="Arial Narrow" w:hAnsi="Arial Narrow"/>
                <w:b/>
                <w:sz w:val="22"/>
                <w:szCs w:val="22"/>
              </w:rPr>
              <w:t>«</w:t>
            </w:r>
            <w:r w:rsidR="00D83691" w:rsidRPr="003E3C8A">
              <w:rPr>
                <w:rFonts w:ascii="Arial Narrow" w:hAnsi="Arial Narrow"/>
                <w:b/>
                <w:sz w:val="22"/>
                <w:szCs w:val="22"/>
              </w:rPr>
              <w:t>Кубанская степь</w:t>
            </w:r>
            <w:r w:rsidR="00632B1E" w:rsidRPr="003E3C8A">
              <w:rPr>
                <w:rFonts w:ascii="Arial Narrow" w:hAnsi="Arial Narrow"/>
                <w:b/>
                <w:sz w:val="22"/>
                <w:szCs w:val="22"/>
              </w:rPr>
              <w:t>»</w:t>
            </w:r>
          </w:p>
          <w:p w14:paraId="638CFCB2" w14:textId="77777777" w:rsidR="00632923" w:rsidRPr="003E3C8A" w:rsidRDefault="00632923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F001848" w14:textId="77777777" w:rsidR="00632923" w:rsidRPr="003E3C8A" w:rsidRDefault="00632923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4184A853" w14:textId="77777777" w:rsidR="00632923" w:rsidRPr="003E3C8A" w:rsidRDefault="00632923" w:rsidP="003E3C8A">
            <w:pPr>
              <w:jc w:val="both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77D5C50F" w14:textId="681D5689" w:rsidR="00632923" w:rsidRPr="003E3C8A" w:rsidRDefault="00632923" w:rsidP="003E3C8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>м.п.</w:t>
            </w:r>
          </w:p>
        </w:tc>
        <w:tc>
          <w:tcPr>
            <w:tcW w:w="3447" w:type="dxa"/>
          </w:tcPr>
          <w:p w14:paraId="5EF5DAEA" w14:textId="77777777" w:rsidR="006B4211" w:rsidRPr="003E3C8A" w:rsidRDefault="006B4211" w:rsidP="003E3C8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  <w:p w14:paraId="19985D7A" w14:textId="77777777" w:rsidR="001073B4" w:rsidRPr="003E3C8A" w:rsidRDefault="002D5BAC" w:rsidP="003E3C8A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3E3C8A">
              <w:rPr>
                <w:rFonts w:ascii="Arial Narrow" w:hAnsi="Arial Narrow"/>
                <w:b/>
                <w:sz w:val="22"/>
                <w:szCs w:val="22"/>
              </w:rPr>
              <w:t>Ахиджанов А.Э.</w:t>
            </w:r>
          </w:p>
          <w:p w14:paraId="18DC36A0" w14:textId="1A967878" w:rsidR="00B50A43" w:rsidRPr="003E3C8A" w:rsidRDefault="00B50A43" w:rsidP="003E3C8A">
            <w:pPr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1AF53C01" w14:textId="400DFEAE" w:rsidR="000E64C7" w:rsidRPr="003E3C8A" w:rsidRDefault="00B12557" w:rsidP="003E3C8A">
      <w:pPr>
        <w:widowControl/>
        <w:suppressAutoHyphens w:val="0"/>
        <w:autoSpaceDE w:val="0"/>
        <w:autoSpaceDN w:val="0"/>
        <w:adjustRightInd w:val="0"/>
        <w:rPr>
          <w:rFonts w:ascii="Arial Narrow" w:hAnsi="Arial Narrow"/>
          <w:b/>
          <w:sz w:val="22"/>
          <w:szCs w:val="22"/>
        </w:rPr>
      </w:pPr>
      <w:r w:rsidRPr="003E3C8A">
        <w:rPr>
          <w:rFonts w:ascii="Arial Narrow" w:hAnsi="Arial Narrow"/>
          <w:b/>
          <w:sz w:val="22"/>
          <w:szCs w:val="22"/>
        </w:rPr>
        <w:t xml:space="preserve"> </w:t>
      </w:r>
    </w:p>
    <w:p w14:paraId="331EB4F3" w14:textId="77777777" w:rsidR="001D5652" w:rsidRPr="003E3C8A" w:rsidRDefault="001D5652" w:rsidP="003E3C8A">
      <w:pPr>
        <w:jc w:val="right"/>
        <w:rPr>
          <w:rFonts w:ascii="Arial Narrow" w:hAnsi="Arial Narrow"/>
          <w:b/>
          <w:sz w:val="22"/>
          <w:szCs w:val="22"/>
        </w:rPr>
      </w:pPr>
    </w:p>
    <w:sectPr w:rsidR="001D5652" w:rsidRPr="003E3C8A" w:rsidSect="000E64C7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BB7BD" w14:textId="77777777" w:rsidR="00E36555" w:rsidRDefault="00E36555" w:rsidP="00F13065">
      <w:r>
        <w:separator/>
      </w:r>
    </w:p>
  </w:endnote>
  <w:endnote w:type="continuationSeparator" w:id="0">
    <w:p w14:paraId="010E2888" w14:textId="77777777" w:rsidR="00E36555" w:rsidRDefault="00E36555" w:rsidP="00F1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8FFF41" w14:textId="77777777" w:rsidR="00E36555" w:rsidRDefault="00E36555" w:rsidP="00F13065">
      <w:r>
        <w:separator/>
      </w:r>
    </w:p>
  </w:footnote>
  <w:footnote w:type="continuationSeparator" w:id="0">
    <w:p w14:paraId="0FB93535" w14:textId="77777777" w:rsidR="00E36555" w:rsidRDefault="00E36555" w:rsidP="00F130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706DB"/>
    <w:multiLevelType w:val="hybridMultilevel"/>
    <w:tmpl w:val="4D26FCB6"/>
    <w:lvl w:ilvl="0" w:tplc="0419000F">
      <w:start w:val="1"/>
      <w:numFmt w:val="decimal"/>
      <w:lvlText w:val="%1."/>
      <w:lvlJc w:val="left"/>
      <w:pPr>
        <w:ind w:left="-1440" w:hanging="360"/>
      </w:pPr>
    </w:lvl>
    <w:lvl w:ilvl="1" w:tplc="04190019" w:tentative="1">
      <w:start w:val="1"/>
      <w:numFmt w:val="lowerLetter"/>
      <w:lvlText w:val="%2."/>
      <w:lvlJc w:val="left"/>
      <w:pPr>
        <w:ind w:left="-720" w:hanging="360"/>
      </w:pPr>
    </w:lvl>
    <w:lvl w:ilvl="2" w:tplc="0419001B" w:tentative="1">
      <w:start w:val="1"/>
      <w:numFmt w:val="lowerRoman"/>
      <w:lvlText w:val="%3."/>
      <w:lvlJc w:val="right"/>
      <w:pPr>
        <w:ind w:left="0" w:hanging="180"/>
      </w:pPr>
    </w:lvl>
    <w:lvl w:ilvl="3" w:tplc="0419000F" w:tentative="1">
      <w:start w:val="1"/>
      <w:numFmt w:val="decimal"/>
      <w:lvlText w:val="%4."/>
      <w:lvlJc w:val="left"/>
      <w:pPr>
        <w:ind w:left="720" w:hanging="360"/>
      </w:pPr>
    </w:lvl>
    <w:lvl w:ilvl="4" w:tplc="04190019" w:tentative="1">
      <w:start w:val="1"/>
      <w:numFmt w:val="lowerLetter"/>
      <w:lvlText w:val="%5."/>
      <w:lvlJc w:val="left"/>
      <w:pPr>
        <w:ind w:left="1440" w:hanging="360"/>
      </w:pPr>
    </w:lvl>
    <w:lvl w:ilvl="5" w:tplc="0419001B" w:tentative="1">
      <w:start w:val="1"/>
      <w:numFmt w:val="lowerRoman"/>
      <w:lvlText w:val="%6."/>
      <w:lvlJc w:val="right"/>
      <w:pPr>
        <w:ind w:left="2160" w:hanging="180"/>
      </w:pPr>
    </w:lvl>
    <w:lvl w:ilvl="6" w:tplc="0419000F" w:tentative="1">
      <w:start w:val="1"/>
      <w:numFmt w:val="decimal"/>
      <w:lvlText w:val="%7."/>
      <w:lvlJc w:val="left"/>
      <w:pPr>
        <w:ind w:left="2880" w:hanging="360"/>
      </w:pPr>
    </w:lvl>
    <w:lvl w:ilvl="7" w:tplc="04190019" w:tentative="1">
      <w:start w:val="1"/>
      <w:numFmt w:val="lowerLetter"/>
      <w:lvlText w:val="%8."/>
      <w:lvlJc w:val="left"/>
      <w:pPr>
        <w:ind w:left="3600" w:hanging="360"/>
      </w:pPr>
    </w:lvl>
    <w:lvl w:ilvl="8" w:tplc="0419001B" w:tentative="1">
      <w:start w:val="1"/>
      <w:numFmt w:val="lowerRoman"/>
      <w:lvlText w:val="%9."/>
      <w:lvlJc w:val="right"/>
      <w:pPr>
        <w:ind w:left="4320" w:hanging="180"/>
      </w:pPr>
    </w:lvl>
  </w:abstractNum>
  <w:abstractNum w:abstractNumId="1" w15:restartNumberingAfterBreak="0">
    <w:nsid w:val="06B21301"/>
    <w:multiLevelType w:val="hybridMultilevel"/>
    <w:tmpl w:val="88D00A2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94ED9"/>
    <w:multiLevelType w:val="hybridMultilevel"/>
    <w:tmpl w:val="3E7C76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E7EC5"/>
    <w:multiLevelType w:val="hybridMultilevel"/>
    <w:tmpl w:val="51C441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97AD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65E93"/>
    <w:multiLevelType w:val="hybridMultilevel"/>
    <w:tmpl w:val="418E40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0B12"/>
    <w:multiLevelType w:val="hybridMultilevel"/>
    <w:tmpl w:val="18E456FC"/>
    <w:lvl w:ilvl="0" w:tplc="037AB9A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2AA47C8"/>
    <w:multiLevelType w:val="hybridMultilevel"/>
    <w:tmpl w:val="EB12C3FA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960D8D"/>
    <w:multiLevelType w:val="hybridMultilevel"/>
    <w:tmpl w:val="147675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7207E8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4D47EF"/>
    <w:multiLevelType w:val="hybridMultilevel"/>
    <w:tmpl w:val="CE7CE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9E339E"/>
    <w:multiLevelType w:val="hybridMultilevel"/>
    <w:tmpl w:val="D96CB9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2A6131"/>
    <w:multiLevelType w:val="hybridMultilevel"/>
    <w:tmpl w:val="CC1A7BE6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386310"/>
    <w:multiLevelType w:val="hybridMultilevel"/>
    <w:tmpl w:val="565A1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C76CFD"/>
    <w:multiLevelType w:val="hybridMultilevel"/>
    <w:tmpl w:val="E37EF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487341"/>
    <w:multiLevelType w:val="hybridMultilevel"/>
    <w:tmpl w:val="C4F8E062"/>
    <w:lvl w:ilvl="0" w:tplc="EB54808A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AF3A3D"/>
    <w:multiLevelType w:val="hybridMultilevel"/>
    <w:tmpl w:val="939C4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904895"/>
    <w:multiLevelType w:val="hybridMultilevel"/>
    <w:tmpl w:val="9BA6BA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7D699B"/>
    <w:multiLevelType w:val="hybridMultilevel"/>
    <w:tmpl w:val="736C78B0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46406A"/>
    <w:multiLevelType w:val="hybridMultilevel"/>
    <w:tmpl w:val="D76E4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8D2455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194ACB"/>
    <w:multiLevelType w:val="hybridMultilevel"/>
    <w:tmpl w:val="FF0C0644"/>
    <w:lvl w:ilvl="0" w:tplc="75C69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4150D3"/>
    <w:multiLevelType w:val="hybridMultilevel"/>
    <w:tmpl w:val="0ADE6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6A476F"/>
    <w:multiLevelType w:val="hybridMultilevel"/>
    <w:tmpl w:val="3ACCF2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9C5FEC"/>
    <w:multiLevelType w:val="hybridMultilevel"/>
    <w:tmpl w:val="677EAD2E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486C56"/>
    <w:multiLevelType w:val="multilevel"/>
    <w:tmpl w:val="EC9A63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6" w15:restartNumberingAfterBreak="0">
    <w:nsid w:val="593B0096"/>
    <w:multiLevelType w:val="hybridMultilevel"/>
    <w:tmpl w:val="41C21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A415B8"/>
    <w:multiLevelType w:val="hybridMultilevel"/>
    <w:tmpl w:val="F1C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563068"/>
    <w:multiLevelType w:val="hybridMultilevel"/>
    <w:tmpl w:val="F1F4C730"/>
    <w:lvl w:ilvl="0" w:tplc="21867E2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C462D1E"/>
    <w:multiLevelType w:val="hybridMultilevel"/>
    <w:tmpl w:val="2BC824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A1F92"/>
    <w:multiLevelType w:val="hybridMultilevel"/>
    <w:tmpl w:val="78F005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5A447B"/>
    <w:multiLevelType w:val="hybridMultilevel"/>
    <w:tmpl w:val="0C8819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3567AF"/>
    <w:multiLevelType w:val="hybridMultilevel"/>
    <w:tmpl w:val="BB4E2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87469C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A06EF5"/>
    <w:multiLevelType w:val="hybridMultilevel"/>
    <w:tmpl w:val="D6A8A8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837E75"/>
    <w:multiLevelType w:val="hybridMultilevel"/>
    <w:tmpl w:val="63E25A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A7A26A2"/>
    <w:multiLevelType w:val="hybridMultilevel"/>
    <w:tmpl w:val="86BA2FBA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6B8E6614"/>
    <w:multiLevelType w:val="hybridMultilevel"/>
    <w:tmpl w:val="9A5AF2F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8" w15:restartNumberingAfterBreak="0">
    <w:nsid w:val="6F80568C"/>
    <w:multiLevelType w:val="hybridMultilevel"/>
    <w:tmpl w:val="1730E9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D30C4B"/>
    <w:multiLevelType w:val="hybridMultilevel"/>
    <w:tmpl w:val="ACB069B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16C1E40"/>
    <w:multiLevelType w:val="multilevel"/>
    <w:tmpl w:val="26CCA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41" w15:restartNumberingAfterBreak="0">
    <w:nsid w:val="71A92F10"/>
    <w:multiLevelType w:val="hybridMultilevel"/>
    <w:tmpl w:val="8A1E2B34"/>
    <w:lvl w:ilvl="0" w:tplc="26BC80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4716CE1"/>
    <w:multiLevelType w:val="hybridMultilevel"/>
    <w:tmpl w:val="8A460A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BD863F4"/>
    <w:multiLevelType w:val="hybridMultilevel"/>
    <w:tmpl w:val="A0101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8"/>
  </w:num>
  <w:num w:numId="3">
    <w:abstractNumId w:val="28"/>
  </w:num>
  <w:num w:numId="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7"/>
  </w:num>
  <w:num w:numId="6">
    <w:abstractNumId w:val="0"/>
  </w:num>
  <w:num w:numId="7">
    <w:abstractNumId w:val="1"/>
  </w:num>
  <w:num w:numId="8">
    <w:abstractNumId w:val="43"/>
  </w:num>
  <w:num w:numId="9">
    <w:abstractNumId w:val="15"/>
  </w:num>
  <w:num w:numId="10">
    <w:abstractNumId w:val="33"/>
  </w:num>
  <w:num w:numId="11">
    <w:abstractNumId w:val="9"/>
  </w:num>
  <w:num w:numId="12">
    <w:abstractNumId w:val="42"/>
  </w:num>
  <w:num w:numId="13">
    <w:abstractNumId w:val="30"/>
  </w:num>
  <w:num w:numId="14">
    <w:abstractNumId w:val="17"/>
  </w:num>
  <w:num w:numId="15">
    <w:abstractNumId w:val="16"/>
  </w:num>
  <w:num w:numId="16">
    <w:abstractNumId w:val="31"/>
  </w:num>
  <w:num w:numId="17">
    <w:abstractNumId w:val="12"/>
  </w:num>
  <w:num w:numId="18">
    <w:abstractNumId w:val="39"/>
  </w:num>
  <w:num w:numId="19">
    <w:abstractNumId w:val="7"/>
  </w:num>
  <w:num w:numId="20">
    <w:abstractNumId w:val="41"/>
  </w:num>
  <w:num w:numId="21">
    <w:abstractNumId w:val="24"/>
  </w:num>
  <w:num w:numId="22">
    <w:abstractNumId w:val="25"/>
  </w:num>
  <w:num w:numId="23">
    <w:abstractNumId w:val="40"/>
  </w:num>
  <w:num w:numId="24">
    <w:abstractNumId w:val="32"/>
  </w:num>
  <w:num w:numId="25">
    <w:abstractNumId w:val="11"/>
  </w:num>
  <w:num w:numId="26">
    <w:abstractNumId w:val="6"/>
  </w:num>
  <w:num w:numId="27">
    <w:abstractNumId w:val="37"/>
  </w:num>
  <w:num w:numId="28">
    <w:abstractNumId w:val="20"/>
  </w:num>
  <w:num w:numId="29">
    <w:abstractNumId w:val="23"/>
  </w:num>
  <w:num w:numId="30">
    <w:abstractNumId w:val="5"/>
  </w:num>
  <w:num w:numId="31">
    <w:abstractNumId w:val="22"/>
  </w:num>
  <w:num w:numId="32">
    <w:abstractNumId w:val="4"/>
  </w:num>
  <w:num w:numId="33">
    <w:abstractNumId w:val="14"/>
  </w:num>
  <w:num w:numId="34">
    <w:abstractNumId w:val="2"/>
  </w:num>
  <w:num w:numId="35">
    <w:abstractNumId w:val="34"/>
  </w:num>
  <w:num w:numId="36">
    <w:abstractNumId w:val="8"/>
  </w:num>
  <w:num w:numId="37">
    <w:abstractNumId w:val="10"/>
  </w:num>
  <w:num w:numId="38">
    <w:abstractNumId w:val="19"/>
  </w:num>
  <w:num w:numId="39">
    <w:abstractNumId w:val="38"/>
  </w:num>
  <w:num w:numId="40">
    <w:abstractNumId w:val="36"/>
  </w:num>
  <w:num w:numId="41">
    <w:abstractNumId w:val="3"/>
  </w:num>
  <w:num w:numId="42">
    <w:abstractNumId w:val="35"/>
  </w:num>
  <w:num w:numId="43">
    <w:abstractNumId w:val="26"/>
  </w:num>
  <w:num w:numId="44">
    <w:abstractNumId w:val="13"/>
  </w:num>
  <w:num w:numId="45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3"/>
  <w:defaultTabStop w:val="708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F0E"/>
    <w:rsid w:val="00015BCE"/>
    <w:rsid w:val="000220EF"/>
    <w:rsid w:val="00024F39"/>
    <w:rsid w:val="00025068"/>
    <w:rsid w:val="000775CE"/>
    <w:rsid w:val="000809C9"/>
    <w:rsid w:val="000828CD"/>
    <w:rsid w:val="00093BA6"/>
    <w:rsid w:val="00096B37"/>
    <w:rsid w:val="00097BEC"/>
    <w:rsid w:val="000C6F54"/>
    <w:rsid w:val="000D0BE1"/>
    <w:rsid w:val="000E03E8"/>
    <w:rsid w:val="000E3B2E"/>
    <w:rsid w:val="000E64C7"/>
    <w:rsid w:val="001073B4"/>
    <w:rsid w:val="00116463"/>
    <w:rsid w:val="001324CB"/>
    <w:rsid w:val="0013497F"/>
    <w:rsid w:val="00140AB2"/>
    <w:rsid w:val="00142D2C"/>
    <w:rsid w:val="0015496E"/>
    <w:rsid w:val="0016228B"/>
    <w:rsid w:val="001648C5"/>
    <w:rsid w:val="00165192"/>
    <w:rsid w:val="0017212C"/>
    <w:rsid w:val="0017615E"/>
    <w:rsid w:val="001873D1"/>
    <w:rsid w:val="00196082"/>
    <w:rsid w:val="001A36CA"/>
    <w:rsid w:val="001D5652"/>
    <w:rsid w:val="001E07A0"/>
    <w:rsid w:val="001F326D"/>
    <w:rsid w:val="00205DCB"/>
    <w:rsid w:val="00211DB4"/>
    <w:rsid w:val="002123B5"/>
    <w:rsid w:val="00215905"/>
    <w:rsid w:val="00216084"/>
    <w:rsid w:val="00235595"/>
    <w:rsid w:val="002533DF"/>
    <w:rsid w:val="002613D2"/>
    <w:rsid w:val="00264C1C"/>
    <w:rsid w:val="002665B0"/>
    <w:rsid w:val="002929BD"/>
    <w:rsid w:val="002A02E8"/>
    <w:rsid w:val="002A1388"/>
    <w:rsid w:val="002C19E3"/>
    <w:rsid w:val="002D37CA"/>
    <w:rsid w:val="002D46C3"/>
    <w:rsid w:val="002D5BAC"/>
    <w:rsid w:val="002F2155"/>
    <w:rsid w:val="002F2360"/>
    <w:rsid w:val="002F7E42"/>
    <w:rsid w:val="00303239"/>
    <w:rsid w:val="00303AFC"/>
    <w:rsid w:val="00304D51"/>
    <w:rsid w:val="003068E1"/>
    <w:rsid w:val="00307FE6"/>
    <w:rsid w:val="003170F2"/>
    <w:rsid w:val="00323AE9"/>
    <w:rsid w:val="00331A0E"/>
    <w:rsid w:val="00352F95"/>
    <w:rsid w:val="00362AE3"/>
    <w:rsid w:val="00363DF7"/>
    <w:rsid w:val="0037107D"/>
    <w:rsid w:val="003904CB"/>
    <w:rsid w:val="003925BA"/>
    <w:rsid w:val="00394C82"/>
    <w:rsid w:val="0039524C"/>
    <w:rsid w:val="003A4F33"/>
    <w:rsid w:val="003B0721"/>
    <w:rsid w:val="003C7EA1"/>
    <w:rsid w:val="003E3B1C"/>
    <w:rsid w:val="003E3C8A"/>
    <w:rsid w:val="0040429E"/>
    <w:rsid w:val="00413EBB"/>
    <w:rsid w:val="0041524C"/>
    <w:rsid w:val="004374AF"/>
    <w:rsid w:val="00443609"/>
    <w:rsid w:val="004471DA"/>
    <w:rsid w:val="004632F7"/>
    <w:rsid w:val="00470F0C"/>
    <w:rsid w:val="00474C32"/>
    <w:rsid w:val="004A5852"/>
    <w:rsid w:val="004A6C35"/>
    <w:rsid w:val="004E458C"/>
    <w:rsid w:val="004F0EC5"/>
    <w:rsid w:val="004F4673"/>
    <w:rsid w:val="004F770D"/>
    <w:rsid w:val="0050360D"/>
    <w:rsid w:val="00506D2D"/>
    <w:rsid w:val="005116BF"/>
    <w:rsid w:val="00522232"/>
    <w:rsid w:val="005318FD"/>
    <w:rsid w:val="00543A7E"/>
    <w:rsid w:val="005451B7"/>
    <w:rsid w:val="005602DE"/>
    <w:rsid w:val="00563A3E"/>
    <w:rsid w:val="0057206F"/>
    <w:rsid w:val="0057398B"/>
    <w:rsid w:val="00574A6C"/>
    <w:rsid w:val="0059305D"/>
    <w:rsid w:val="0059597F"/>
    <w:rsid w:val="005A49DE"/>
    <w:rsid w:val="005A4C64"/>
    <w:rsid w:val="005B480D"/>
    <w:rsid w:val="005D786F"/>
    <w:rsid w:val="005F2B50"/>
    <w:rsid w:val="005F6F55"/>
    <w:rsid w:val="00614EE5"/>
    <w:rsid w:val="0062269E"/>
    <w:rsid w:val="00624B95"/>
    <w:rsid w:val="00632923"/>
    <w:rsid w:val="00632B1E"/>
    <w:rsid w:val="00634D63"/>
    <w:rsid w:val="006435CA"/>
    <w:rsid w:val="00650F1E"/>
    <w:rsid w:val="00653102"/>
    <w:rsid w:val="00664C6C"/>
    <w:rsid w:val="00670587"/>
    <w:rsid w:val="00690BB2"/>
    <w:rsid w:val="006A1F46"/>
    <w:rsid w:val="006B4211"/>
    <w:rsid w:val="006B6ABF"/>
    <w:rsid w:val="007248D0"/>
    <w:rsid w:val="0073088B"/>
    <w:rsid w:val="00731A8E"/>
    <w:rsid w:val="00734C3E"/>
    <w:rsid w:val="00735EDB"/>
    <w:rsid w:val="00736583"/>
    <w:rsid w:val="00737791"/>
    <w:rsid w:val="00740512"/>
    <w:rsid w:val="00745E7B"/>
    <w:rsid w:val="007468E9"/>
    <w:rsid w:val="00763685"/>
    <w:rsid w:val="0076764D"/>
    <w:rsid w:val="00777106"/>
    <w:rsid w:val="0079236F"/>
    <w:rsid w:val="00793361"/>
    <w:rsid w:val="00796E61"/>
    <w:rsid w:val="007A01B3"/>
    <w:rsid w:val="007A368A"/>
    <w:rsid w:val="007B35B6"/>
    <w:rsid w:val="007C273A"/>
    <w:rsid w:val="007D1E39"/>
    <w:rsid w:val="007D4B81"/>
    <w:rsid w:val="007E1B89"/>
    <w:rsid w:val="007F085E"/>
    <w:rsid w:val="007F3582"/>
    <w:rsid w:val="008006D3"/>
    <w:rsid w:val="00814078"/>
    <w:rsid w:val="008273ED"/>
    <w:rsid w:val="008366C4"/>
    <w:rsid w:val="00836C8D"/>
    <w:rsid w:val="00837625"/>
    <w:rsid w:val="00840F0E"/>
    <w:rsid w:val="008450BF"/>
    <w:rsid w:val="0084621D"/>
    <w:rsid w:val="00850731"/>
    <w:rsid w:val="008511BB"/>
    <w:rsid w:val="008535CA"/>
    <w:rsid w:val="00855203"/>
    <w:rsid w:val="00883ADE"/>
    <w:rsid w:val="00896E83"/>
    <w:rsid w:val="00897706"/>
    <w:rsid w:val="008B3E9F"/>
    <w:rsid w:val="008D152C"/>
    <w:rsid w:val="008E687B"/>
    <w:rsid w:val="008F0B5E"/>
    <w:rsid w:val="009027D7"/>
    <w:rsid w:val="00910740"/>
    <w:rsid w:val="00913DE2"/>
    <w:rsid w:val="00917616"/>
    <w:rsid w:val="00965A95"/>
    <w:rsid w:val="00992486"/>
    <w:rsid w:val="009B7693"/>
    <w:rsid w:val="009E0638"/>
    <w:rsid w:val="009E1CC5"/>
    <w:rsid w:val="009E4F8E"/>
    <w:rsid w:val="009F554D"/>
    <w:rsid w:val="00A06FAD"/>
    <w:rsid w:val="00A11AA3"/>
    <w:rsid w:val="00A14EBD"/>
    <w:rsid w:val="00A40118"/>
    <w:rsid w:val="00A43642"/>
    <w:rsid w:val="00A53E44"/>
    <w:rsid w:val="00A55A7F"/>
    <w:rsid w:val="00A665ED"/>
    <w:rsid w:val="00A67D7B"/>
    <w:rsid w:val="00A704EC"/>
    <w:rsid w:val="00A7501F"/>
    <w:rsid w:val="00A8751C"/>
    <w:rsid w:val="00AA21E2"/>
    <w:rsid w:val="00AE5E20"/>
    <w:rsid w:val="00AF60F6"/>
    <w:rsid w:val="00B051CF"/>
    <w:rsid w:val="00B12557"/>
    <w:rsid w:val="00B13E15"/>
    <w:rsid w:val="00B352F6"/>
    <w:rsid w:val="00B35EF0"/>
    <w:rsid w:val="00B36F20"/>
    <w:rsid w:val="00B5038B"/>
    <w:rsid w:val="00B50A43"/>
    <w:rsid w:val="00B5280D"/>
    <w:rsid w:val="00B64A7F"/>
    <w:rsid w:val="00B724D3"/>
    <w:rsid w:val="00B75363"/>
    <w:rsid w:val="00B85CE4"/>
    <w:rsid w:val="00B86298"/>
    <w:rsid w:val="00B97743"/>
    <w:rsid w:val="00BA65C7"/>
    <w:rsid w:val="00BB3BCC"/>
    <w:rsid w:val="00BC669A"/>
    <w:rsid w:val="00BD6A40"/>
    <w:rsid w:val="00BF1679"/>
    <w:rsid w:val="00C1111E"/>
    <w:rsid w:val="00C11274"/>
    <w:rsid w:val="00C33DB3"/>
    <w:rsid w:val="00C3656E"/>
    <w:rsid w:val="00C469E1"/>
    <w:rsid w:val="00C57532"/>
    <w:rsid w:val="00C76F2C"/>
    <w:rsid w:val="00C8113C"/>
    <w:rsid w:val="00C82591"/>
    <w:rsid w:val="00C86416"/>
    <w:rsid w:val="00C93FC5"/>
    <w:rsid w:val="00C95CED"/>
    <w:rsid w:val="00CB0D82"/>
    <w:rsid w:val="00CC21BD"/>
    <w:rsid w:val="00CD4059"/>
    <w:rsid w:val="00CD587A"/>
    <w:rsid w:val="00CE004E"/>
    <w:rsid w:val="00CF0DB2"/>
    <w:rsid w:val="00CF0FC6"/>
    <w:rsid w:val="00CF1A8F"/>
    <w:rsid w:val="00CF59B8"/>
    <w:rsid w:val="00CF6A7F"/>
    <w:rsid w:val="00D11840"/>
    <w:rsid w:val="00D12B2F"/>
    <w:rsid w:val="00D1608E"/>
    <w:rsid w:val="00D45920"/>
    <w:rsid w:val="00D753D1"/>
    <w:rsid w:val="00D766AB"/>
    <w:rsid w:val="00D77239"/>
    <w:rsid w:val="00D83691"/>
    <w:rsid w:val="00D84029"/>
    <w:rsid w:val="00D87A00"/>
    <w:rsid w:val="00D95FAF"/>
    <w:rsid w:val="00DA6B13"/>
    <w:rsid w:val="00DB0516"/>
    <w:rsid w:val="00DC5AC2"/>
    <w:rsid w:val="00DC7E5C"/>
    <w:rsid w:val="00DD06F2"/>
    <w:rsid w:val="00DD5C2B"/>
    <w:rsid w:val="00DE244F"/>
    <w:rsid w:val="00DE3436"/>
    <w:rsid w:val="00E238E3"/>
    <w:rsid w:val="00E24B9A"/>
    <w:rsid w:val="00E36555"/>
    <w:rsid w:val="00E41246"/>
    <w:rsid w:val="00E451F6"/>
    <w:rsid w:val="00E65732"/>
    <w:rsid w:val="00E72695"/>
    <w:rsid w:val="00E75B2F"/>
    <w:rsid w:val="00EC6944"/>
    <w:rsid w:val="00EC79F9"/>
    <w:rsid w:val="00ED2001"/>
    <w:rsid w:val="00EF14EE"/>
    <w:rsid w:val="00F11429"/>
    <w:rsid w:val="00F13065"/>
    <w:rsid w:val="00F23FF6"/>
    <w:rsid w:val="00F3647C"/>
    <w:rsid w:val="00F41E28"/>
    <w:rsid w:val="00F55846"/>
    <w:rsid w:val="00F61A8A"/>
    <w:rsid w:val="00F7450C"/>
    <w:rsid w:val="00F82855"/>
    <w:rsid w:val="00F847C6"/>
    <w:rsid w:val="00F925A8"/>
    <w:rsid w:val="00F957CF"/>
    <w:rsid w:val="00FA1CB5"/>
    <w:rsid w:val="00FA3EC7"/>
    <w:rsid w:val="00FC1A61"/>
    <w:rsid w:val="00FC3C4A"/>
    <w:rsid w:val="00FD197F"/>
    <w:rsid w:val="00FE1D97"/>
    <w:rsid w:val="00FE3B84"/>
    <w:rsid w:val="00FE5B5E"/>
    <w:rsid w:val="00FE6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3946E"/>
  <w15:chartTrackingRefBased/>
  <w15:docId w15:val="{592AEF24-C978-4876-85E4-EAB316607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5192"/>
    <w:pPr>
      <w:widowControl w:val="0"/>
      <w:suppressAutoHyphens/>
    </w:pPr>
    <w:rPr>
      <w:rFonts w:ascii="Arial" w:eastAsia="Lucida Sans Unicode" w:hAnsi="Arial"/>
      <w:kern w:val="1"/>
      <w:szCs w:val="24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7450C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/>
      <w:b/>
      <w:bCs/>
      <w:color w:val="365F91"/>
      <w:kern w:val="0"/>
      <w:sz w:val="28"/>
      <w:szCs w:val="28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3B5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F7450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Subtitle"/>
    <w:basedOn w:val="a"/>
    <w:next w:val="a"/>
    <w:link w:val="a4"/>
    <w:uiPriority w:val="11"/>
    <w:qFormat/>
    <w:rsid w:val="00F7450C"/>
    <w:pPr>
      <w:widowControl/>
      <w:numPr>
        <w:ilvl w:val="1"/>
      </w:numPr>
      <w:suppressAutoHyphens w:val="0"/>
      <w:spacing w:after="200" w:line="276" w:lineRule="auto"/>
    </w:pPr>
    <w:rPr>
      <w:rFonts w:ascii="Cambria" w:eastAsia="Times New Roman" w:hAnsi="Cambria"/>
      <w:i/>
      <w:iCs/>
      <w:color w:val="4F81BD"/>
      <w:spacing w:val="15"/>
      <w:kern w:val="0"/>
      <w:sz w:val="24"/>
    </w:rPr>
  </w:style>
  <w:style w:type="character" w:customStyle="1" w:styleId="a4">
    <w:name w:val="Подзаголовок Знак"/>
    <w:link w:val="a3"/>
    <w:uiPriority w:val="11"/>
    <w:rsid w:val="00F7450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5">
    <w:name w:val="No Spacing"/>
    <w:uiPriority w:val="1"/>
    <w:qFormat/>
    <w:rsid w:val="00F7450C"/>
    <w:rPr>
      <w:sz w:val="22"/>
      <w:szCs w:val="22"/>
      <w:lang w:eastAsia="en-US"/>
    </w:rPr>
  </w:style>
  <w:style w:type="character" w:styleId="a6">
    <w:name w:val="Subtle Emphasis"/>
    <w:uiPriority w:val="19"/>
    <w:qFormat/>
    <w:rsid w:val="00F7450C"/>
    <w:rPr>
      <w:i/>
      <w:iCs/>
      <w:color w:val="808080"/>
    </w:rPr>
  </w:style>
  <w:style w:type="paragraph" w:customStyle="1" w:styleId="11">
    <w:name w:val="Цитата1"/>
    <w:basedOn w:val="a"/>
    <w:rsid w:val="00D1608E"/>
    <w:pPr>
      <w:widowControl/>
      <w:ind w:left="1" w:right="1" w:firstLine="709"/>
      <w:jc w:val="both"/>
    </w:pPr>
    <w:rPr>
      <w:rFonts w:eastAsia="Times New Roman" w:cs="Arial"/>
      <w:kern w:val="0"/>
      <w:sz w:val="22"/>
      <w:szCs w:val="20"/>
      <w:lang w:eastAsia="zh-CN"/>
    </w:rPr>
  </w:style>
  <w:style w:type="paragraph" w:styleId="a7">
    <w:name w:val="header"/>
    <w:basedOn w:val="a"/>
    <w:link w:val="a8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F1306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F13065"/>
    <w:rPr>
      <w:rFonts w:ascii="Arial" w:eastAsia="Lucida Sans Unicode" w:hAnsi="Arial" w:cs="Times New Roman"/>
      <w:kern w:val="1"/>
      <w:sz w:val="20"/>
      <w:szCs w:val="24"/>
    </w:rPr>
  </w:style>
  <w:style w:type="paragraph" w:styleId="ab">
    <w:name w:val="List Paragraph"/>
    <w:basedOn w:val="a"/>
    <w:uiPriority w:val="34"/>
    <w:qFormat/>
    <w:rsid w:val="007C273A"/>
    <w:pPr>
      <w:ind w:left="720"/>
      <w:contextualSpacing/>
    </w:pPr>
  </w:style>
  <w:style w:type="table" w:styleId="ac">
    <w:name w:val="Table Grid"/>
    <w:basedOn w:val="a1"/>
    <w:uiPriority w:val="59"/>
    <w:rsid w:val="00AE5E2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363DF7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63DF7"/>
    <w:rPr>
      <w:rFonts w:ascii="Segoe UI" w:eastAsia="Lucida Sans Unicode" w:hAnsi="Segoe UI" w:cs="Segoe UI"/>
      <w:kern w:val="1"/>
      <w:sz w:val="18"/>
      <w:szCs w:val="18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2123B5"/>
    <w:rPr>
      <w:rFonts w:asciiTheme="majorHAnsi" w:eastAsiaTheme="majorEastAsia" w:hAnsiTheme="majorHAnsi" w:cstheme="majorBidi"/>
      <w:i/>
      <w:iCs/>
      <w:color w:val="1F4D78" w:themeColor="accent1" w:themeShade="7F"/>
      <w:kern w:val="1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0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9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2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5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5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39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18BE24-C2E1-46C3-9656-5056053AD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2458</Words>
  <Characters>14012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Ахиджанов Артур Эдуардович</cp:lastModifiedBy>
  <cp:revision>4</cp:revision>
  <cp:lastPrinted>2022-08-23T09:17:00Z</cp:lastPrinted>
  <dcterms:created xsi:type="dcterms:W3CDTF">2022-08-23T09:10:00Z</dcterms:created>
  <dcterms:modified xsi:type="dcterms:W3CDTF">2022-10-24T19:23:00Z</dcterms:modified>
</cp:coreProperties>
</file>